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B5BDC" w14:textId="6144ED3A" w:rsidR="00A90DC8" w:rsidRDefault="00000000" w:rsidP="00DB785E">
      <w:pPr>
        <w:pStyle w:val="Heading1"/>
        <w:jc w:val="center"/>
      </w:pPr>
      <w:r>
        <w:t>Guest Worker Housing &amp; Remittance Bond Program for Undocumented Hondurans in the United States</w:t>
      </w:r>
    </w:p>
    <w:p w14:paraId="59CC4D17" w14:textId="3C19D600" w:rsidR="00DB785E" w:rsidRDefault="00000000" w:rsidP="00DB785E">
      <w:pPr>
        <w:spacing w:line="240" w:lineRule="auto"/>
        <w:contextualSpacing/>
        <w:jc w:val="center"/>
      </w:pPr>
      <w:r>
        <w:rPr>
          <w:b/>
        </w:rPr>
        <w:t>Submitted by:</w:t>
      </w:r>
      <w:r>
        <w:t xml:space="preserve"> The Marie Maxey Foundation · Fairfax, Virginia</w:t>
      </w:r>
      <w:r w:rsidR="00A3293F">
        <w:t>.</w:t>
      </w:r>
    </w:p>
    <w:p w14:paraId="14D00F85" w14:textId="62AB1EDF" w:rsidR="00A90DC8" w:rsidRDefault="00000000" w:rsidP="00DB785E">
      <w:pPr>
        <w:spacing w:line="240" w:lineRule="auto"/>
        <w:contextualSpacing/>
        <w:jc w:val="center"/>
      </w:pPr>
      <w:r>
        <w:rPr>
          <w:b/>
        </w:rPr>
        <w:t>Prepared by:</w:t>
      </w:r>
      <w:r>
        <w:t xml:space="preserve"> Michael Maxey, Executive Director</w:t>
      </w:r>
      <w:r w:rsidR="00DB785E">
        <w:t>.</w:t>
      </w:r>
      <w:r>
        <w:t xml:space="preserve"> </w:t>
      </w:r>
      <w:r>
        <w:rPr>
          <w:b/>
        </w:rPr>
        <w:t>Date:</w:t>
      </w:r>
      <w:r>
        <w:t xml:space="preserve"> </w:t>
      </w:r>
      <w:r w:rsidR="00DB785E">
        <w:t>October 23</w:t>
      </w:r>
      <w:r>
        <w:t>, 2026</w:t>
      </w:r>
    </w:p>
    <w:p w14:paraId="0CF019E4" w14:textId="77777777" w:rsidR="00A90DC8" w:rsidRDefault="00A90DC8">
      <w:pPr>
        <w:pBdr>
          <w:bottom w:val="single" w:sz="6" w:space="1" w:color="auto"/>
        </w:pBdr>
      </w:pPr>
    </w:p>
    <w:p w14:paraId="721DF89F" w14:textId="77777777" w:rsidR="00A90DC8" w:rsidRDefault="00000000">
      <w:pPr>
        <w:pStyle w:val="Heading2"/>
      </w:pPr>
      <w:r>
        <w:t>Executive Summary</w:t>
      </w:r>
    </w:p>
    <w:p w14:paraId="02D7DFD4" w14:textId="4324327C" w:rsidR="00A90DC8" w:rsidRDefault="00000000">
      <w:r>
        <w:t xml:space="preserve">The United States faces a fiscal exposure of $19 billion to $77 billion to deport an estimated 1.1 million unauthorized Hondurans, at a time when U.S. employers in agriculture, hospitality, construction, landscaping, food processing, and other sectors are losing the very workers their operations depend on. Every deportation costs </w:t>
      </w:r>
      <w:r w:rsidR="00DB785E">
        <w:t>taxpayers $17,000 to $70,000—and leaves employers</w:t>
      </w:r>
      <w:r>
        <w:t xml:space="preserve"> scrambling to fill the position.</w:t>
      </w:r>
    </w:p>
    <w:p w14:paraId="2EB2896E" w14:textId="77777777" w:rsidR="00A90DC8" w:rsidRDefault="00000000">
      <w:r>
        <w:t>This proposal offers a market-based legislative alternative: a time-limited Guest Worker Program (3–5 years) that would legalize the status of undocumented Hondurans currently in the U.S. workforce, protect them from deportation during the program period, and redirect their existing payroll tax contributions into two wealth-building instruments that incentivize voluntary return to Honduras at program completion:</w:t>
      </w:r>
    </w:p>
    <w:p w14:paraId="124F0A65" w14:textId="77777777" w:rsidR="00A90DC8" w:rsidRDefault="00000000">
      <w:pPr>
        <w:pStyle w:val="ListParagraph"/>
        <w:numPr>
          <w:ilvl w:val="0"/>
          <w:numId w:val="2"/>
        </w:numPr>
      </w:pPr>
      <w:r>
        <w:t xml:space="preserve">A </w:t>
      </w:r>
      <w:r>
        <w:rPr>
          <w:b/>
        </w:rPr>
        <w:t>Guest Worker Housing Fund</w:t>
      </w:r>
      <w:r>
        <w:t xml:space="preserve"> — the worker's 7.65% FICA/Medicare contribution and the employer's 7.65% match are redirected into an individual housing escrow account, redeemable only upon verified return to Honduras. Over 3–5 years, a worker earning $12/hour accumulates $14,688–$18,360; a married couple accumulates $29,376–$36,720 — enough for homeownership in Honduras.</w:t>
      </w:r>
    </w:p>
    <w:p w14:paraId="7D4E8F77" w14:textId="77777777" w:rsidR="00A90DC8" w:rsidRDefault="00000000">
      <w:pPr>
        <w:pStyle w:val="ListParagraph"/>
        <w:numPr>
          <w:ilvl w:val="0"/>
          <w:numId w:val="2"/>
        </w:numPr>
      </w:pPr>
      <w:r>
        <w:t xml:space="preserve">A </w:t>
      </w:r>
      <w:r>
        <w:rPr>
          <w:b/>
        </w:rPr>
        <w:t>Remittance Bond for Small Business Development</w:t>
      </w:r>
      <w:r>
        <w:t xml:space="preserve"> — a voluntary program in which guest workers dedicate a portion of their remittances to a matched savings vehicle (1:3 U.S.-to-worker match), capitalizing small enterprises in Honduras upon return.</w:t>
      </w:r>
    </w:p>
    <w:p w14:paraId="49E2D313" w14:textId="77777777" w:rsidR="00A90DC8" w:rsidRDefault="00000000">
      <w:r>
        <w:t>At national scale, these mechanisms represent a potential $12.9 billion investment in Honduran housing and small business development — financed entirely by workers and employers, not taxpayers. The U.S. saves tens of billions in deportation costs. Employers retain their workforce for 3–5 years under legal authorization. Honduras gains titled property, registered businesses, and a revitalized construction sector.</w:t>
      </w:r>
    </w:p>
    <w:p w14:paraId="1DC849B6" w14:textId="606AF54E" w:rsidR="00A90DC8" w:rsidRDefault="00000000">
      <w:r>
        <w:t xml:space="preserve">The intellectual framework draws on </w:t>
      </w:r>
      <w:r w:rsidR="00DB785E">
        <w:t>Peruvian economist Hernando de Soto, whose research showed that formalizing property rights and integrating informal economies into legal systems unlocks</w:t>
      </w:r>
      <w:r>
        <w:t xml:space="preserve"> capital in developing countries.</w:t>
      </w:r>
    </w:p>
    <w:p w14:paraId="27C07B5F" w14:textId="77777777" w:rsidR="00A90DC8" w:rsidRDefault="00000000">
      <w:r>
        <w:t>The Marie Maxey Foundation is seeking industry partners, government agency engagement, and institutional support to advance this concept toward legislation. We are building a coalition of employer trade associations whose members depend on immigrant labor, beginning with agriculture, hospitality, landscaping, construction, and food processing — the sectors most affected by current enforcement policy.</w:t>
      </w:r>
    </w:p>
    <w:p w14:paraId="1E49C474" w14:textId="77777777" w:rsidR="00A90DC8" w:rsidRDefault="00000000">
      <w:pPr>
        <w:pStyle w:val="Heading2"/>
      </w:pPr>
      <w:r>
        <w:lastRenderedPageBreak/>
        <w:t>The Problem: A Three-Sided Crisis</w:t>
      </w:r>
    </w:p>
    <w:p w14:paraId="0F0260EC" w14:textId="77777777" w:rsidR="00A90DC8" w:rsidRDefault="00000000">
      <w:pPr>
        <w:pStyle w:val="Heading3"/>
      </w:pPr>
      <w:r>
        <w:t>The Fiscal Burden on Taxpayers</w:t>
      </w:r>
    </w:p>
    <w:p w14:paraId="694CFBD9" w14:textId="3256FBDF" w:rsidR="00A90DC8" w:rsidRDefault="00000000">
      <w:r>
        <w:t xml:space="preserve">An estimated 1.1 million unauthorized Hondurans reside in the United States (Congressional Research Service, September 2025). Since January 2025, </w:t>
      </w:r>
      <w:r w:rsidR="00DB785E">
        <w:t>authorities have deported over 55,000</w:t>
      </w:r>
      <w:r>
        <w:t xml:space="preserve">. The cost of removing the remainder ranges from $18.8 billion at ICE's own average ($17,121 per person) to $77.3 billion at the Penn Wharton Budget Model's averaged estimate ($70,236 per person). Total ICE deportation spending in 2025 reached $5.95 billion across all nationalities — a 78% increase over the prior year — with $38.3 billion committed to detention spending by </w:t>
      </w:r>
      <w:r w:rsidR="00DB785E">
        <w:t xml:space="preserve">the </w:t>
      </w:r>
      <w:r>
        <w:t>end of 2026.</w:t>
      </w:r>
    </w:p>
    <w:p w14:paraId="4966A3ED" w14:textId="77777777" w:rsidR="00A90DC8" w:rsidRDefault="00000000">
      <w:pPr>
        <w:pStyle w:val="Heading3"/>
      </w:pPr>
      <w:r>
        <w:t>The Workforce Crisis for Employers</w:t>
      </w:r>
    </w:p>
    <w:p w14:paraId="01AB8AC0" w14:textId="77777777" w:rsidR="00A90DC8" w:rsidRDefault="00000000">
      <w:r>
        <w:t>The administration has set an official target of 1 million deportations per year. At ICE's own cost figure, that is $17.1 billion annually in removal costs alone. At Penn Wharton's average, it is $70.2 billion a year. At a practical mid-range of $40,000 per person, it is $40 billion annually — and the Honduran population represents just one-eleventh of the total unauthorized population.</w:t>
      </w:r>
    </w:p>
    <w:p w14:paraId="2CF69E73" w14:textId="77777777" w:rsidR="00A90DC8" w:rsidRDefault="00000000">
      <w:r>
        <w:t>Congress is funding this apparatus at historically unprecedented levels. The One Big Beautiful Bill Act (July 2025) allocated approximately $170 billion through 2029 for immigration enforcement, including $45 billion for new detention centers (a 308% increase over ICE's 2024 detention budget) and $46.5 billion for border wall construction. In June 2026, the President signed an additional $70 billion enforcement package through September 2029, pushing total available funds past $200 billion — more than the budgets of all other federal law enforcement agencies combined, including the FBI, the DEA, and the U.S. Marshals Service.</w:t>
      </w:r>
    </w:p>
    <w:p w14:paraId="0C296C30" w14:textId="0C877667" w:rsidR="00A90DC8" w:rsidRDefault="00000000">
      <w:r>
        <w:rPr>
          <w:b/>
        </w:rPr>
        <w:t>To put this in perspective:</w:t>
      </w:r>
      <w:r>
        <w:t xml:space="preserve"> The </w:t>
      </w:r>
      <w:r w:rsidR="00DB785E">
        <w:t xml:space="preserve">administration proposed a FY2026 Small Business Administration budget of $600 </w:t>
      </w:r>
      <w:proofErr w:type="gramStart"/>
      <w:r w:rsidR="00DB785E">
        <w:t>million—</w:t>
      </w:r>
      <w:r>
        <w:t>a</w:t>
      </w:r>
      <w:proofErr w:type="gramEnd"/>
      <w:r>
        <w:t xml:space="preserve"> 33% cut from the prior year. For FY2027, the administration requested just $329 million and proposed zero funding for nearly all of SBA's 16 entrepreneurial development programs. Congress has committed roughly 283 times the entire SBA budget to deporting people</w:t>
      </w:r>
      <w:r w:rsidR="00DB785E">
        <w:t xml:space="preserve">—many of whom are the workers </w:t>
      </w:r>
      <w:r>
        <w:t xml:space="preserve">American small businesses depend on to operate. The $170 billion enforcement allocation could fund the SBA at its current level for 283 years, or fund FEMA disaster relief at its average annual level for over a </w:t>
      </w:r>
      <w:r w:rsidR="00DB785E">
        <w:t>decade or</w:t>
      </w:r>
      <w:r>
        <w:t xml:space="preserve"> pay for school lunch programs for every child in America for roughly eight years.</w:t>
      </w:r>
    </w:p>
    <w:p w14:paraId="2C281FB7" w14:textId="77777777" w:rsidR="00A90DC8" w:rsidRDefault="00000000">
      <w:r>
        <w:t>The Guest Worker Housing and Remittance Bond program costs the U.S. Treasury nothing. It redirects existing payroll contributions into housing accounts that incentivize voluntary return. The total potential investment is $12.9 billion, generated entirely by workers and employers — less than the cost of deporting them by a factor of three to six, and it produces titled property, registered businesses, and a reformed financial system instead of an empty seat on a deportation flight and an employer scrambling for a replacement.</w:t>
      </w:r>
    </w:p>
    <w:p w14:paraId="1A5584C0" w14:textId="77777777" w:rsidR="00A90DC8" w:rsidRDefault="00000000">
      <w:r>
        <w:t xml:space="preserve">The 1.1 million unauthorized Hondurans include an estimated labor force of 790,000 workers — concentrated in agriculture, hospitality, food processing, construction, landscaping, carpet manufacturing, and fishing. These are sectors with chronic labor shortages that immigration enforcement is making acute. The National Restaurant Association reports that nearly one in four restaurant workers are immigrants and almost one million restaurant jobs remain unfilled. The landscaping industry, which employs nearly one million workers nationwide, depends on H-2B visa </w:t>
      </w:r>
      <w:r>
        <w:lastRenderedPageBreak/>
        <w:t>workers for seasonal capacity. Construction faces a shortage of over 500,000 skilled workers. In every case, deportation removes experienced, productive employees and leaves employers with unfilled positions and rising labor costs.</w:t>
      </w:r>
    </w:p>
    <w:p w14:paraId="5DD28859" w14:textId="77777777" w:rsidR="00A90DC8" w:rsidRDefault="00000000">
      <w:pPr>
        <w:pStyle w:val="Heading3"/>
      </w:pPr>
      <w:r>
        <w:t>The Development Crisis in Honduras</w:t>
      </w:r>
    </w:p>
    <w:p w14:paraId="70C5ACEC" w14:textId="77777777" w:rsidR="00A90DC8" w:rsidRDefault="00000000">
      <w:r>
        <w:t>Honduras is the fourth most remittance-dependent economy in the world. In 2024, remittances reached $9.74 billion — 25.7% of GDP. Approximately 85% of these flows originate from Hondurans in the United States. Mass deportation threatens to collapse these flows, destabilizing an economy that depends on them. Meanwhile, over 70% of all non-agricultural employment in Honduras is informal. Deported workers return to an economy with few formal opportunities, no titled property, and no access to credit — a cycle that drives re-migration.</w:t>
      </w:r>
    </w:p>
    <w:p w14:paraId="6A87DDD5" w14:textId="77777777" w:rsidR="00A90DC8" w:rsidRDefault="00000000">
      <w:pPr>
        <w:pStyle w:val="Heading3"/>
      </w:pPr>
      <w:r>
        <w:t>The Opportunity</w:t>
      </w:r>
    </w:p>
    <w:p w14:paraId="79561735" w14:textId="77777777" w:rsidR="00A90DC8" w:rsidRDefault="00000000">
      <w:r>
        <w:t>All three problems share a single solution: a legal framework that keeps workers in the U.S. labor force for a defined period, redirects their existing payroll contributions into wealth-building instruments, and creates the economic conditions in Honduras that make voluntary return attractive. The program costs the U.S. Treasury nothing — it is funded by payroll contributions that already exist. Employers retain their workforce. Honduras receives capital investment that addresses the root causes of migration.</w:t>
      </w:r>
    </w:p>
    <w:p w14:paraId="76C53C7E" w14:textId="77777777" w:rsidR="00A90DC8" w:rsidRDefault="00000000">
      <w:pPr>
        <w:pStyle w:val="Heading2"/>
      </w:pPr>
      <w:r>
        <w:t>The Proposed Legislation</w:t>
      </w:r>
    </w:p>
    <w:p w14:paraId="07AEB1E0" w14:textId="77777777" w:rsidR="00A90DC8" w:rsidRDefault="00000000">
      <w:pPr>
        <w:pStyle w:val="Heading3"/>
      </w:pPr>
      <w:r>
        <w:t>Guest Worker Housing Fund</w:t>
      </w:r>
    </w:p>
    <w:p w14:paraId="22A442D8" w14:textId="77777777" w:rsidR="00DB785E" w:rsidRDefault="00000000">
      <w:r>
        <w:t xml:space="preserve">Under the proposed legislation, undocumented Hondurans in the U.S. would register for a 3-to-5-year Guest Worker authorization. During this period, they would be protected from </w:t>
      </w:r>
      <w:r w:rsidR="00DB785E">
        <w:t>deportation,</w:t>
      </w:r>
      <w:r>
        <w:t xml:space="preserve"> and their payroll contributions would be redirected as follows:</w:t>
      </w:r>
      <w:r w:rsidR="00DB785E">
        <w:t xml:space="preserve"> </w:t>
      </w:r>
    </w:p>
    <w:p w14:paraId="64CA466A" w14:textId="77777777" w:rsidR="00DB785E" w:rsidRDefault="00000000">
      <w:r>
        <w:t>The worker's 7.65% FICA/Medicare contribution and the employer's 7.65% match — a combined 15.3</w:t>
      </w:r>
      <w:r w:rsidR="00DB785E">
        <w:t>% of wages</w:t>
      </w:r>
      <w:r>
        <w:t xml:space="preserve"> would flow into an individual Housing Fund escrow account instead of the Social Security system. </w:t>
      </w:r>
    </w:p>
    <w:p w14:paraId="2B56A5EB" w14:textId="12A526B2" w:rsidR="00A3293F" w:rsidRDefault="00000000">
      <w:r>
        <w:t xml:space="preserve">This is not a new tax or a new employer cost. It </w:t>
      </w:r>
      <w:r w:rsidR="00DB785E">
        <w:t>redirects</w:t>
      </w:r>
      <w:r>
        <w:t xml:space="preserve"> existing payroll obligations into an account the worker can </w:t>
      </w:r>
      <w:r w:rsidR="00DB785E">
        <w:t>benefit</w:t>
      </w:r>
      <w:r>
        <w:t xml:space="preserve"> from. (Under current law, undocumented workers pay into Social Security but are ineligible to collect benefits — the redirected contributions represent money that would otherwise be lost to the worker entirely.</w:t>
      </w:r>
      <w:r w:rsidR="00DB785E">
        <w:t xml:space="preserve"> </w:t>
      </w:r>
      <w:r>
        <w:t>The Housing Fund is redeemable only upon the worker's verified return to Honduras, where it finances homeownership with formal title — creating a capital-generating asset that anchors the worker in the Honduran economy.</w:t>
      </w:r>
    </w:p>
    <w:p w14:paraId="0CA579F4" w14:textId="77777777" w:rsidR="00A3293F" w:rsidRDefault="00A3293F">
      <w:r>
        <w:br w:type="page"/>
      </w:r>
    </w:p>
    <w:p w14:paraId="097380B4" w14:textId="77777777" w:rsidR="00A90DC8" w:rsidRDefault="00A90DC8"/>
    <w:tbl>
      <w:tblPr>
        <w:tblStyle w:val="TableGrid"/>
        <w:tblW w:w="0" w:type="auto"/>
        <w:tblLayout w:type="fixed"/>
        <w:tblLook w:val="0420" w:firstRow="1" w:lastRow="0" w:firstColumn="0" w:lastColumn="0" w:noHBand="0" w:noVBand="1"/>
      </w:tblPr>
      <w:tblGrid>
        <w:gridCol w:w="3768"/>
        <w:gridCol w:w="1864"/>
        <w:gridCol w:w="1864"/>
        <w:gridCol w:w="1864"/>
      </w:tblGrid>
      <w:tr w:rsidR="00A90DC8" w14:paraId="25897910" w14:textId="77777777">
        <w:trPr>
          <w:tblHeader/>
        </w:trPr>
        <w:tc>
          <w:tcPr>
            <w:tcW w:w="3768" w:type="dxa"/>
            <w:shd w:val="clear" w:color="auto" w:fill="F2F2F2"/>
          </w:tcPr>
          <w:p w14:paraId="3627FD31" w14:textId="77777777" w:rsidR="00A90DC8" w:rsidRDefault="00000000">
            <w:r>
              <w:t>Parameter</w:t>
            </w:r>
          </w:p>
        </w:tc>
        <w:tc>
          <w:tcPr>
            <w:tcW w:w="1864" w:type="dxa"/>
            <w:shd w:val="clear" w:color="auto" w:fill="F2F2F2"/>
          </w:tcPr>
          <w:p w14:paraId="37290BF4" w14:textId="77777777" w:rsidR="00A90DC8" w:rsidRDefault="00000000">
            <w:r>
              <w:t>3-Year Program</w:t>
            </w:r>
          </w:p>
        </w:tc>
        <w:tc>
          <w:tcPr>
            <w:tcW w:w="1864" w:type="dxa"/>
            <w:shd w:val="clear" w:color="auto" w:fill="F2F2F2"/>
          </w:tcPr>
          <w:p w14:paraId="3CBC7099" w14:textId="77777777" w:rsidR="00A90DC8" w:rsidRDefault="00000000">
            <w:r>
              <w:t>4-Year Program</w:t>
            </w:r>
          </w:p>
        </w:tc>
        <w:tc>
          <w:tcPr>
            <w:tcW w:w="1864" w:type="dxa"/>
            <w:shd w:val="clear" w:color="auto" w:fill="F2F2F2"/>
          </w:tcPr>
          <w:p w14:paraId="24387912" w14:textId="77777777" w:rsidR="00A90DC8" w:rsidRDefault="00000000">
            <w:r>
              <w:t>5-Year Program</w:t>
            </w:r>
          </w:p>
        </w:tc>
      </w:tr>
      <w:tr w:rsidR="00A90DC8" w14:paraId="4545D510" w14:textId="77777777">
        <w:tc>
          <w:tcPr>
            <w:tcW w:w="3768" w:type="dxa"/>
          </w:tcPr>
          <w:p w14:paraId="25F62644" w14:textId="77777777" w:rsidR="00A90DC8" w:rsidRDefault="00000000">
            <w:r>
              <w:t>Hourly wage assumption</w:t>
            </w:r>
          </w:p>
        </w:tc>
        <w:tc>
          <w:tcPr>
            <w:tcW w:w="1864" w:type="dxa"/>
          </w:tcPr>
          <w:p w14:paraId="6F26D52B" w14:textId="77777777" w:rsidR="00A90DC8" w:rsidRDefault="00000000">
            <w:r>
              <w:t>$12.00/</w:t>
            </w:r>
            <w:proofErr w:type="spellStart"/>
            <w:r>
              <w:t>hr</w:t>
            </w:r>
            <w:proofErr w:type="spellEnd"/>
          </w:p>
        </w:tc>
        <w:tc>
          <w:tcPr>
            <w:tcW w:w="1864" w:type="dxa"/>
          </w:tcPr>
          <w:p w14:paraId="3FCCC3FD" w14:textId="77777777" w:rsidR="00A90DC8" w:rsidRDefault="00000000">
            <w:r>
              <w:t>$12.00/</w:t>
            </w:r>
            <w:proofErr w:type="spellStart"/>
            <w:r>
              <w:t>hr</w:t>
            </w:r>
            <w:proofErr w:type="spellEnd"/>
          </w:p>
        </w:tc>
        <w:tc>
          <w:tcPr>
            <w:tcW w:w="1864" w:type="dxa"/>
          </w:tcPr>
          <w:p w14:paraId="2D879402" w14:textId="77777777" w:rsidR="00A90DC8" w:rsidRDefault="00000000">
            <w:r>
              <w:t>$12.00/</w:t>
            </w:r>
            <w:proofErr w:type="spellStart"/>
            <w:r>
              <w:t>hr</w:t>
            </w:r>
            <w:proofErr w:type="spellEnd"/>
          </w:p>
        </w:tc>
      </w:tr>
      <w:tr w:rsidR="00A90DC8" w14:paraId="6C419718" w14:textId="77777777">
        <w:tc>
          <w:tcPr>
            <w:tcW w:w="3768" w:type="dxa"/>
          </w:tcPr>
          <w:p w14:paraId="230B9377" w14:textId="77777777" w:rsidR="00A90DC8" w:rsidRDefault="00000000">
            <w:r>
              <w:t xml:space="preserve">Annual gross wages (40 </w:t>
            </w:r>
            <w:proofErr w:type="spellStart"/>
            <w:r>
              <w:t>hrs</w:t>
            </w:r>
            <w:proofErr w:type="spellEnd"/>
            <w:r>
              <w:t>/</w:t>
            </w:r>
            <w:proofErr w:type="spellStart"/>
            <w:r>
              <w:t>wk</w:t>
            </w:r>
            <w:proofErr w:type="spellEnd"/>
            <w:r>
              <w:t xml:space="preserve">, 50 </w:t>
            </w:r>
            <w:proofErr w:type="spellStart"/>
            <w:r>
              <w:t>wks</w:t>
            </w:r>
            <w:proofErr w:type="spellEnd"/>
            <w:r>
              <w:t>)</w:t>
            </w:r>
          </w:p>
        </w:tc>
        <w:tc>
          <w:tcPr>
            <w:tcW w:w="1864" w:type="dxa"/>
          </w:tcPr>
          <w:p w14:paraId="0E250F1B" w14:textId="77777777" w:rsidR="00A90DC8" w:rsidRDefault="00000000">
            <w:r>
              <w:t>$24,000</w:t>
            </w:r>
          </w:p>
        </w:tc>
        <w:tc>
          <w:tcPr>
            <w:tcW w:w="1864" w:type="dxa"/>
          </w:tcPr>
          <w:p w14:paraId="3EC12E3D" w14:textId="77777777" w:rsidR="00A90DC8" w:rsidRDefault="00000000">
            <w:r>
              <w:t>$24,000</w:t>
            </w:r>
          </w:p>
        </w:tc>
        <w:tc>
          <w:tcPr>
            <w:tcW w:w="1864" w:type="dxa"/>
          </w:tcPr>
          <w:p w14:paraId="1417B32E" w14:textId="77777777" w:rsidR="00A90DC8" w:rsidRDefault="00000000">
            <w:r>
              <w:t>$24,000</w:t>
            </w:r>
          </w:p>
        </w:tc>
      </w:tr>
      <w:tr w:rsidR="00A90DC8" w14:paraId="251DBAB2" w14:textId="77777777">
        <w:tc>
          <w:tcPr>
            <w:tcW w:w="3768" w:type="dxa"/>
          </w:tcPr>
          <w:p w14:paraId="2B4E5414" w14:textId="77777777" w:rsidR="00A90DC8" w:rsidRDefault="00000000">
            <w:r>
              <w:t>Annual housing contribution (15.3%)</w:t>
            </w:r>
          </w:p>
        </w:tc>
        <w:tc>
          <w:tcPr>
            <w:tcW w:w="1864" w:type="dxa"/>
          </w:tcPr>
          <w:p w14:paraId="76FC4D84" w14:textId="77777777" w:rsidR="00A90DC8" w:rsidRDefault="00000000">
            <w:r>
              <w:t>$3,672</w:t>
            </w:r>
          </w:p>
        </w:tc>
        <w:tc>
          <w:tcPr>
            <w:tcW w:w="1864" w:type="dxa"/>
          </w:tcPr>
          <w:p w14:paraId="4836C161" w14:textId="77777777" w:rsidR="00A90DC8" w:rsidRDefault="00000000">
            <w:r>
              <w:t>$3,672</w:t>
            </w:r>
          </w:p>
        </w:tc>
        <w:tc>
          <w:tcPr>
            <w:tcW w:w="1864" w:type="dxa"/>
          </w:tcPr>
          <w:p w14:paraId="77A58CF6" w14:textId="77777777" w:rsidR="00A90DC8" w:rsidRDefault="00000000">
            <w:r>
              <w:t>$3,672</w:t>
            </w:r>
          </w:p>
        </w:tc>
      </w:tr>
      <w:tr w:rsidR="00A90DC8" w14:paraId="0E5CCFA8" w14:textId="77777777">
        <w:tc>
          <w:tcPr>
            <w:tcW w:w="3768" w:type="dxa"/>
          </w:tcPr>
          <w:p w14:paraId="009005ED" w14:textId="77777777" w:rsidR="00A90DC8" w:rsidRDefault="00000000">
            <w:r>
              <w:t>Accumulation per worker</w:t>
            </w:r>
          </w:p>
        </w:tc>
        <w:tc>
          <w:tcPr>
            <w:tcW w:w="1864" w:type="dxa"/>
          </w:tcPr>
          <w:p w14:paraId="303FFE9C" w14:textId="77777777" w:rsidR="00A90DC8" w:rsidRDefault="00000000">
            <w:r>
              <w:t>$11,016</w:t>
            </w:r>
          </w:p>
        </w:tc>
        <w:tc>
          <w:tcPr>
            <w:tcW w:w="1864" w:type="dxa"/>
          </w:tcPr>
          <w:p w14:paraId="22177247" w14:textId="77777777" w:rsidR="00A90DC8" w:rsidRDefault="00000000">
            <w:r>
              <w:t>$14,688</w:t>
            </w:r>
          </w:p>
        </w:tc>
        <w:tc>
          <w:tcPr>
            <w:tcW w:w="1864" w:type="dxa"/>
          </w:tcPr>
          <w:p w14:paraId="7887D755" w14:textId="77777777" w:rsidR="00A90DC8" w:rsidRDefault="00000000">
            <w:r>
              <w:t>$18,360</w:t>
            </w:r>
          </w:p>
        </w:tc>
      </w:tr>
      <w:tr w:rsidR="00A90DC8" w14:paraId="44464886" w14:textId="77777777">
        <w:tc>
          <w:tcPr>
            <w:tcW w:w="3768" w:type="dxa"/>
          </w:tcPr>
          <w:p w14:paraId="19970DF7" w14:textId="77777777" w:rsidR="00A90DC8" w:rsidRDefault="00000000">
            <w:r>
              <w:t>Accumulation per married couple</w:t>
            </w:r>
          </w:p>
        </w:tc>
        <w:tc>
          <w:tcPr>
            <w:tcW w:w="1864" w:type="dxa"/>
          </w:tcPr>
          <w:p w14:paraId="52FF7D78" w14:textId="77777777" w:rsidR="00A90DC8" w:rsidRDefault="00000000">
            <w:r>
              <w:t>~$22,032</w:t>
            </w:r>
          </w:p>
        </w:tc>
        <w:tc>
          <w:tcPr>
            <w:tcW w:w="1864" w:type="dxa"/>
          </w:tcPr>
          <w:p w14:paraId="2E7D3C09" w14:textId="77777777" w:rsidR="00A90DC8" w:rsidRDefault="00000000">
            <w:r>
              <w:t>~$29,376</w:t>
            </w:r>
          </w:p>
        </w:tc>
        <w:tc>
          <w:tcPr>
            <w:tcW w:w="1864" w:type="dxa"/>
          </w:tcPr>
          <w:p w14:paraId="1574FE23" w14:textId="77777777" w:rsidR="00A90DC8" w:rsidRDefault="00000000">
            <w:r>
              <w:t>~$36,720</w:t>
            </w:r>
          </w:p>
        </w:tc>
      </w:tr>
      <w:tr w:rsidR="00A90DC8" w14:paraId="6D04F00B" w14:textId="77777777">
        <w:tc>
          <w:tcPr>
            <w:tcW w:w="3768" w:type="dxa"/>
          </w:tcPr>
          <w:p w14:paraId="57592547" w14:textId="77777777" w:rsidR="00A90DC8" w:rsidRDefault="00000000">
            <w:r>
              <w:t>Aggregate potential (790,000 labor force)</w:t>
            </w:r>
          </w:p>
        </w:tc>
        <w:tc>
          <w:tcPr>
            <w:tcW w:w="1864" w:type="dxa"/>
          </w:tcPr>
          <w:p w14:paraId="11F80484" w14:textId="77777777" w:rsidR="00A90DC8" w:rsidRDefault="00000000">
            <w:r>
              <w:t>$8.7 billion</w:t>
            </w:r>
          </w:p>
        </w:tc>
        <w:tc>
          <w:tcPr>
            <w:tcW w:w="1864" w:type="dxa"/>
          </w:tcPr>
          <w:p w14:paraId="72D1E8C2" w14:textId="77777777" w:rsidR="00A90DC8" w:rsidRDefault="00000000">
            <w:r>
              <w:t>$11.6 billion</w:t>
            </w:r>
          </w:p>
        </w:tc>
        <w:tc>
          <w:tcPr>
            <w:tcW w:w="1864" w:type="dxa"/>
          </w:tcPr>
          <w:p w14:paraId="79DB4C24" w14:textId="77777777" w:rsidR="00A90DC8" w:rsidRDefault="00000000">
            <w:r>
              <w:t>$14.5 billion</w:t>
            </w:r>
          </w:p>
        </w:tc>
      </w:tr>
    </w:tbl>
    <w:p w14:paraId="7179D6A5" w14:textId="77777777" w:rsidR="00A90DC8" w:rsidRDefault="00000000">
      <w:pPr>
        <w:pStyle w:val="Heading3"/>
      </w:pPr>
      <w:r>
        <w:t>Remittance Bond for Small Business Development</w:t>
      </w:r>
    </w:p>
    <w:p w14:paraId="6A2C737F" w14:textId="29DAD02B" w:rsidR="00A90DC8" w:rsidRDefault="00000000">
      <w:r>
        <w:t xml:space="preserve">A parallel voluntary program </w:t>
      </w:r>
      <w:r w:rsidR="00DB785E">
        <w:t>lets guest workers dedicate a portion of their remittances to a Remittance Bond—</w:t>
      </w:r>
      <w:r>
        <w:t xml:space="preserve">a matched small business savings account. The U.S. government provides a 1-to-3 match: one federal dollar for every three worker dollars contributed. Funds </w:t>
      </w:r>
      <w:r w:rsidR="00DB785E">
        <w:t>are released</w:t>
      </w:r>
      <w:r>
        <w:t xml:space="preserve"> only upon return to Honduras, paired with training, technical assistance, and mentoring.</w:t>
      </w:r>
    </w:p>
    <w:p w14:paraId="4657BD35" w14:textId="77777777" w:rsidR="00A90DC8" w:rsidRDefault="00000000">
      <w:r>
        <w:t>A worker sending $500/month in remittances who dedicates 20% ($100/month) to the Bond accumulates $4,800 over 4 years, receives a $1,600 U.S. match, and returns with $6,400 in small business startup capital — debt-free.</w:t>
      </w:r>
    </w:p>
    <w:p w14:paraId="2F026D93" w14:textId="77777777" w:rsidR="00A90DC8" w:rsidRDefault="00000000">
      <w:r>
        <w:t>If 25% of the labor force participates, the aggregate small business fund reaches $1.26 billion — enough to capitalize nearly 200,000 micro and small enterprises in Honduras.</w:t>
      </w:r>
    </w:p>
    <w:p w14:paraId="0B3279A5" w14:textId="77777777" w:rsidR="00A90DC8" w:rsidRDefault="00000000">
      <w:pPr>
        <w:pStyle w:val="Heading3"/>
      </w:pPr>
      <w:r>
        <w:t>Combined National Impact</w:t>
      </w:r>
    </w:p>
    <w:p w14:paraId="2A716F3B" w14:textId="1F84EFAA" w:rsidR="00A90DC8" w:rsidRDefault="00DB785E">
      <w:r>
        <w:t xml:space="preserve">Together, the Housing Fund and Remittance Bond </w:t>
      </w:r>
      <w:r w:rsidR="00000000">
        <w:t xml:space="preserve">represent a potential $12.9 billion to $15.8 billion investment in Honduran housing and small business development over the program period. </w:t>
      </w:r>
      <w:r>
        <w:t>Workers, employers, and a modest federal match on the voluntary Bond component finance this entirely</w:t>
      </w:r>
      <w:r w:rsidR="00000000">
        <w:t>. No new appropriations. No taxpayer-funded aid program. The federal government's primary expenditure is the 1:3 Remittance Bond</w:t>
      </w:r>
      <w:r>
        <w:t>, which</w:t>
      </w:r>
      <w:r w:rsidR="00000000">
        <w:t xml:space="preserve"> </w:t>
      </w:r>
      <w:r>
        <w:t>is</w:t>
      </w:r>
      <w:r w:rsidR="00000000">
        <w:t xml:space="preserve"> a fraction of what it currently spends on deportation.</w:t>
      </w:r>
    </w:p>
    <w:p w14:paraId="5CC4FE6D" w14:textId="77777777" w:rsidR="00A90DC8" w:rsidRDefault="00000000">
      <w:pPr>
        <w:pStyle w:val="Heading2"/>
      </w:pPr>
      <w:r>
        <w:t>Theoretical Foundation: Hernando de Soto</w:t>
      </w:r>
    </w:p>
    <w:p w14:paraId="0C618D31" w14:textId="77777777" w:rsidR="00A90DC8" w:rsidRDefault="00000000">
      <w:r>
        <w:t xml:space="preserve">Peruvian economist Hernando de Soto demonstrated in </w:t>
      </w:r>
      <w:r>
        <w:rPr>
          <w:i/>
        </w:rPr>
        <w:t>The Other Path</w:t>
      </w:r>
      <w:r>
        <w:t xml:space="preserve"> (1986) and </w:t>
      </w:r>
      <w:r>
        <w:rPr>
          <w:i/>
        </w:rPr>
        <w:t>The Mystery of Capital</w:t>
      </w:r>
      <w:r>
        <w:t xml:space="preserve"> (2000) that the developing world's poor are locked out of the legal systems that would let their assets generate capital. Developing countries possess vast amounts of "dead </w:t>
      </w:r>
      <w:proofErr w:type="gramStart"/>
      <w:r>
        <w:t>capital" —</w:t>
      </w:r>
      <w:proofErr w:type="gramEnd"/>
      <w:r>
        <w:t xml:space="preserve"> assets, primarily real estate, that cannot be leveraged because they exist outside the formal property system. In the West, a home is collateral for a business loan, a source of equity, a tradeable asset. In Honduras, homes built informally on untitled land generate none of these capital functions.</w:t>
      </w:r>
    </w:p>
    <w:p w14:paraId="1572525E" w14:textId="77777777" w:rsidR="00A90DC8" w:rsidRDefault="00000000">
      <w:r>
        <w:lastRenderedPageBreak/>
        <w:t>Honduras exemplifies de Soto's diagnosis. Over 70% of all non-agricultural employment is informal — the second-highest rate in the Western Hemisphere. Real estate cannot be used as collateral because property titling is incomplete and secondary mortgage markets are underdeveloped.</w:t>
      </w:r>
    </w:p>
    <w:p w14:paraId="5DCE9126" w14:textId="77777777" w:rsidR="00A90DC8" w:rsidRDefault="00000000">
      <w:r>
        <w:t>The Guest Worker Housing Fund and Remittance Bond do exactly what de Soto prescribed: they convert informal, off-the-books economic activity (undocumented labor, unstructured remittances) into formal, titled, capital-generating assets (titled homes, registered businesses) that integrate returning workers into Honduras's legal economy. The housing fund creates titled property. The small business fund creates registered enterprises. Both unlock dead capital.</w:t>
      </w:r>
    </w:p>
    <w:p w14:paraId="58A35710" w14:textId="77777777" w:rsidR="00A90DC8" w:rsidRDefault="00000000">
      <w:r>
        <w:t>This is not aid. It is the formalization of capital that already exists — performed by workers who are already earning, already sending remittances, and already paying into a Social Security system they will never benefit from.</w:t>
      </w:r>
    </w:p>
    <w:p w14:paraId="0D4FEF1C" w14:textId="77777777" w:rsidR="00A90DC8" w:rsidRDefault="00000000">
      <w:pPr>
        <w:pStyle w:val="Heading2"/>
      </w:pPr>
      <w:r>
        <w:t>Why Employers Should Support This Legislation</w:t>
      </w:r>
    </w:p>
    <w:p w14:paraId="4E94C709" w14:textId="77777777" w:rsidR="00A90DC8" w:rsidRDefault="00000000">
      <w:r>
        <w:rPr>
          <w:b/>
        </w:rPr>
        <w:t>Workforce stability for 3–5 years.</w:t>
      </w:r>
      <w:r>
        <w:t xml:space="preserve"> Enrolled workers receive legal work authorization and deportation protection for the full program period. No raids. No sudden disappearances. No scramble for replacements. Employers can plan, train, and invest in their workforce knowing it will be in place.</w:t>
      </w:r>
    </w:p>
    <w:p w14:paraId="3CA47126" w14:textId="77777777" w:rsidR="00A90DC8" w:rsidRDefault="00000000">
      <w:r>
        <w:rPr>
          <w:b/>
        </w:rPr>
        <w:t>No new cost to the employer.</w:t>
      </w:r>
      <w:r>
        <w:t xml:space="preserve"> The employer's 7.65% contribution is the same payroll obligation they already carry (or should carry). The only change is the destination: instead of funding Social Security benefits these workers will never collect, the contribution flows into a housing account the worker can </w:t>
      </w:r>
      <w:proofErr w:type="gramStart"/>
      <w:r>
        <w:t>actually use</w:t>
      </w:r>
      <w:proofErr w:type="gramEnd"/>
      <w:r>
        <w:t>. This is a redirection, not an addition.</w:t>
      </w:r>
    </w:p>
    <w:p w14:paraId="0B958038" w14:textId="14D7ED85" w:rsidR="00A90DC8" w:rsidRDefault="00000000">
      <w:r>
        <w:rPr>
          <w:b/>
        </w:rPr>
        <w:t>Market-based, not aid-based.</w:t>
      </w:r>
      <w:r>
        <w:t xml:space="preserve"> This program requires no foreign aid appropriations. It is funded by </w:t>
      </w:r>
      <w:r w:rsidR="00DB785E">
        <w:t>existing worker and employer payroll contributions</w:t>
      </w:r>
      <w:r>
        <w:t>, plus a modest federal match on the voluntary Remittance Bond. The framing is trade-and-investment, not humanitarian assistance — a distinction that matters with both parties in the current political environment.</w:t>
      </w:r>
    </w:p>
    <w:p w14:paraId="0164ADC7" w14:textId="679918FC" w:rsidR="00A90DC8" w:rsidRDefault="00000000">
      <w:r>
        <w:rPr>
          <w:b/>
        </w:rPr>
        <w:t>Reduces future illegal immigration.</w:t>
      </w:r>
      <w:r>
        <w:t xml:space="preserve"> Workers who return to Honduras with titled homes and registered businesses have an economic stake in staying. The program addresses </w:t>
      </w:r>
      <w:r w:rsidR="00DB785E">
        <w:t xml:space="preserve">the root causes of migration by building the formal economic infrastructure </w:t>
      </w:r>
      <w:r>
        <w:t>Honduras lacks. This is not a temporary fix — it is a structural intervention that reduces the push factors driving the next wave.</w:t>
      </w:r>
    </w:p>
    <w:p w14:paraId="0E6B5F12" w14:textId="77777777" w:rsidR="00A90DC8" w:rsidRDefault="00000000">
      <w:r>
        <w:rPr>
          <w:b/>
        </w:rPr>
        <w:t>Bipartisan appeal.</w:t>
      </w:r>
      <w:r>
        <w:t xml:space="preserve"> For conservatives: it is self-funded, market-based, reduces the federal enforcement budget, and results in workers leaving the country voluntarily. For progressives: it protects workers from deportation, provides a path to dignity, invests in development, and treats immigrants as economic agents rather than enforcement targets. For both: it saves the taxpayer tens of billions of dollars.</w:t>
      </w:r>
    </w:p>
    <w:p w14:paraId="482AFCB9" w14:textId="77777777" w:rsidR="00A90DC8" w:rsidRDefault="00000000">
      <w:pPr>
        <w:pStyle w:val="Heading2"/>
      </w:pPr>
      <w:r>
        <w:t>Post-USAID Institutional Architecture</w:t>
      </w:r>
    </w:p>
    <w:p w14:paraId="342E199D" w14:textId="77777777" w:rsidR="00A90DC8" w:rsidRDefault="00000000">
      <w:r>
        <w:t>USAID, the agency that would historically have managed a program of this nature, was dissolved by July 2025. The following framework distributes management across agencies with relevant capacity:</w:t>
      </w:r>
    </w:p>
    <w:p w14:paraId="67997A71" w14:textId="5A5BB4A0" w:rsidR="00A90DC8" w:rsidRDefault="00000000">
      <w:r>
        <w:rPr>
          <w:b/>
        </w:rPr>
        <w:t>U.S. Department of Commerce (Lead Agency — Housing Component).</w:t>
      </w:r>
      <w:r>
        <w:t xml:space="preserve"> Commerce's International Trade Administration promotes U.S. business interests abroad, including construction and building materials. An alliance between Commerce and the U.S. housing industry — the National Association of Home </w:t>
      </w:r>
      <w:r>
        <w:lastRenderedPageBreak/>
        <w:t xml:space="preserve">Builders, the Mortgage Bankers Association, and major building materials firms — would manage the Housing Fund's deployment in Honduras. Commerce would oversee fund administration, construction standards, and </w:t>
      </w:r>
      <w:r w:rsidR="00DB785E">
        <w:t>development of the secondary mortgage market</w:t>
      </w:r>
      <w:r>
        <w:t>.</w:t>
      </w:r>
    </w:p>
    <w:p w14:paraId="05FB3C29" w14:textId="77777777" w:rsidR="00A90DC8" w:rsidRDefault="00000000">
      <w:r>
        <w:rPr>
          <w:b/>
        </w:rPr>
        <w:t>U.S. Department of Housing and Urban Development.</w:t>
      </w:r>
      <w:r>
        <w:t xml:space="preserve"> HUD has direct precedent in Honduras: a $291 million reconstruction program after Hurricane Mitch (1999), including housing construction and mortgage lending. HUD would provide technical assistance on housing finance reform, construction standards, and the regulatory framework for a Honduran secondary mortgage market.</w:t>
      </w:r>
    </w:p>
    <w:p w14:paraId="123FB515" w14:textId="07B0D4BE" w:rsidR="00A90DC8" w:rsidRDefault="00000000">
      <w:r>
        <w:rPr>
          <w:b/>
        </w:rPr>
        <w:t>U.S. Department of State.</w:t>
      </w:r>
      <w:r>
        <w:t xml:space="preserve"> State </w:t>
      </w:r>
      <w:r w:rsidR="00DB785E">
        <w:t xml:space="preserve">Department </w:t>
      </w:r>
      <w:r>
        <w:t>would manage the bilateral framework — the Guest Worker agreement, worker registration and visa processing, and diplomatic coordination with the Inter-American Development Bank and the World Bank.</w:t>
      </w:r>
    </w:p>
    <w:p w14:paraId="3112A558" w14:textId="77777777" w:rsidR="00A90DC8" w:rsidRDefault="00000000">
      <w:r>
        <w:rPr>
          <w:b/>
        </w:rPr>
        <w:t>U.S. Department of Labor.</w:t>
      </w:r>
      <w:r>
        <w:t xml:space="preserve"> DOL would administer the Guest Worker visa program — worker registration, employer compliance, wage protections, and Housing Fund contribution enforcement — building on existing H-2A and H-2B infrastructure.</w:t>
      </w:r>
    </w:p>
    <w:p w14:paraId="335DFC15" w14:textId="596EB8B5" w:rsidR="00A90DC8" w:rsidRDefault="00000000">
      <w:r>
        <w:rPr>
          <w:b/>
        </w:rPr>
        <w:t>Private Sector Execution.</w:t>
      </w:r>
      <w:r>
        <w:t xml:space="preserve"> </w:t>
      </w:r>
      <w:r w:rsidR="00DB785E">
        <w:t>U.S. and Honduran private-sector partners would manage program execution</w:t>
      </w:r>
      <w:r>
        <w:t>: construction firms, microfinance institutions, and business development service providers. The Small Business Administration could design and certify the training and mentoring curriculum for Remittance Bond recipients.</w:t>
      </w:r>
    </w:p>
    <w:p w14:paraId="379C86AC" w14:textId="77777777" w:rsidR="00A90DC8" w:rsidRDefault="00000000">
      <w:pPr>
        <w:pStyle w:val="Heading2"/>
      </w:pPr>
      <w:r>
        <w:t>Building the Coalition: From Industry Support to Legislation</w:t>
      </w:r>
    </w:p>
    <w:p w14:paraId="0AE7548C" w14:textId="77777777" w:rsidR="00A90DC8" w:rsidRDefault="00000000">
      <w:pPr>
        <w:pStyle w:val="Heading3"/>
      </w:pPr>
      <w:r>
        <w:t>Phase 1: Employer Trade Association Engagement</w:t>
      </w:r>
    </w:p>
    <w:p w14:paraId="67A32D17" w14:textId="77777777" w:rsidR="00A90DC8" w:rsidRDefault="00000000">
      <w:r>
        <w:t>The program's political viability depends on employer demand. Congressional staff will take this concept seriously when it arrives with industry backing. The first phase targets the trade associations whose members are most affected by immigration enforcement:</w:t>
      </w:r>
    </w:p>
    <w:p w14:paraId="7A05A7F7" w14:textId="77777777" w:rsidR="00A90DC8" w:rsidRDefault="00000000">
      <w:pPr>
        <w:pStyle w:val="ListParagraph"/>
        <w:numPr>
          <w:ilvl w:val="0"/>
          <w:numId w:val="3"/>
        </w:numPr>
      </w:pPr>
      <w:r>
        <w:rPr>
          <w:b/>
        </w:rPr>
        <w:t>National Association of Landscape Professionals (</w:t>
      </w:r>
      <w:proofErr w:type="gramStart"/>
      <w:r>
        <w:rPr>
          <w:b/>
        </w:rPr>
        <w:t>NALP)</w:t>
      </w:r>
      <w:r>
        <w:t xml:space="preserve"> —</w:t>
      </w:r>
      <w:proofErr w:type="gramEnd"/>
      <w:r>
        <w:t xml:space="preserve"> nearly 1 million workers; heavily H-2B dependent; headquartered in Fairfax, VA</w:t>
      </w:r>
    </w:p>
    <w:p w14:paraId="46099C0D" w14:textId="77777777" w:rsidR="00A90DC8" w:rsidRDefault="00000000">
      <w:pPr>
        <w:pStyle w:val="ListParagraph"/>
        <w:numPr>
          <w:ilvl w:val="0"/>
          <w:numId w:val="3"/>
        </w:numPr>
      </w:pPr>
      <w:r>
        <w:rPr>
          <w:b/>
        </w:rPr>
        <w:t>National Restaurant Association</w:t>
      </w:r>
      <w:r>
        <w:t xml:space="preserve"> — nearly 1 in 4 workers are immigrants; almost 1 million unfilled jobs; already advocating a three-part immigration reform framework</w:t>
      </w:r>
    </w:p>
    <w:p w14:paraId="79B47928" w14:textId="77777777" w:rsidR="00A90DC8" w:rsidRDefault="00000000">
      <w:pPr>
        <w:pStyle w:val="ListParagraph"/>
        <w:numPr>
          <w:ilvl w:val="0"/>
          <w:numId w:val="3"/>
        </w:numPr>
      </w:pPr>
      <w:r>
        <w:rPr>
          <w:b/>
        </w:rPr>
        <w:t>National Association of Home Builders (NAHB)</w:t>
      </w:r>
      <w:r>
        <w:t xml:space="preserve"> — 500,000+ worker shortage; dual interest in domestic labor retention and Honduras housing export opportunity</w:t>
      </w:r>
    </w:p>
    <w:p w14:paraId="1B98FCF4" w14:textId="77777777" w:rsidR="00A90DC8" w:rsidRDefault="00000000">
      <w:pPr>
        <w:pStyle w:val="ListParagraph"/>
        <w:numPr>
          <w:ilvl w:val="0"/>
          <w:numId w:val="3"/>
        </w:numPr>
      </w:pPr>
      <w:r>
        <w:rPr>
          <w:b/>
        </w:rPr>
        <w:t>American Farm Bureau Federation (AFBF)</w:t>
      </w:r>
      <w:r>
        <w:t xml:space="preserve"> — chronic farm labor shortages; H-2A reform advocate</w:t>
      </w:r>
    </w:p>
    <w:p w14:paraId="572CD536" w14:textId="77777777" w:rsidR="00A90DC8" w:rsidRDefault="00000000">
      <w:pPr>
        <w:pStyle w:val="ListParagraph"/>
        <w:numPr>
          <w:ilvl w:val="0"/>
          <w:numId w:val="3"/>
        </w:numPr>
      </w:pPr>
      <w:r>
        <w:rPr>
          <w:b/>
        </w:rPr>
        <w:t>American Hotel &amp; Lodging Association (AHLA)</w:t>
      </w:r>
      <w:r>
        <w:t xml:space="preserve"> — dependent on immigrant housekeeping, kitchen, and maintenance staff</w:t>
      </w:r>
    </w:p>
    <w:p w14:paraId="6DFC57C6" w14:textId="77777777" w:rsidR="00A90DC8" w:rsidRDefault="00000000">
      <w:pPr>
        <w:pStyle w:val="ListParagraph"/>
        <w:numPr>
          <w:ilvl w:val="0"/>
          <w:numId w:val="3"/>
        </w:numPr>
      </w:pPr>
      <w:r>
        <w:rPr>
          <w:b/>
        </w:rPr>
        <w:t>Associated Builders and Contractors (</w:t>
      </w:r>
      <w:proofErr w:type="gramStart"/>
      <w:r>
        <w:rPr>
          <w:b/>
        </w:rPr>
        <w:t>ABC)</w:t>
      </w:r>
      <w:r>
        <w:t xml:space="preserve"> —</w:t>
      </w:r>
      <w:proofErr w:type="gramEnd"/>
      <w:r>
        <w:t xml:space="preserve"> 23,000+ construction firms; active immigration reform advocate</w:t>
      </w:r>
    </w:p>
    <w:p w14:paraId="04C03AFF" w14:textId="77777777" w:rsidR="00A90DC8" w:rsidRDefault="00000000">
      <w:pPr>
        <w:pStyle w:val="ListParagraph"/>
        <w:numPr>
          <w:ilvl w:val="0"/>
          <w:numId w:val="3"/>
        </w:numPr>
      </w:pPr>
      <w:r>
        <w:rPr>
          <w:b/>
        </w:rPr>
        <w:t>Essential Worker Immigration Coalition (</w:t>
      </w:r>
      <w:proofErr w:type="gramStart"/>
      <w:r>
        <w:rPr>
          <w:b/>
        </w:rPr>
        <w:t>EWIC)</w:t>
      </w:r>
      <w:r>
        <w:t xml:space="preserve"> —</w:t>
      </w:r>
      <w:proofErr w:type="gramEnd"/>
      <w:r>
        <w:t xml:space="preserve"> broad industry coalition; one endorsement covers multiple sectors</w:t>
      </w:r>
    </w:p>
    <w:p w14:paraId="5DA40A0C" w14:textId="77777777" w:rsidR="00A90DC8" w:rsidRDefault="00000000">
      <w:pPr>
        <w:pStyle w:val="ListParagraph"/>
        <w:numPr>
          <w:ilvl w:val="0"/>
          <w:numId w:val="3"/>
        </w:numPr>
      </w:pPr>
      <w:r>
        <w:rPr>
          <w:b/>
        </w:rPr>
        <w:t>U.S. Chamber of Commerce</w:t>
      </w:r>
      <w:r>
        <w:t xml:space="preserve"> — already supports expanded legal pathways for workers</w:t>
      </w:r>
    </w:p>
    <w:p w14:paraId="79225E26" w14:textId="77777777" w:rsidR="00A90DC8" w:rsidRDefault="00000000">
      <w:r>
        <w:lastRenderedPageBreak/>
        <w:t>The ask to each association is not money or endorsement. It is a meeting with their government affairs team, their assessment of the concept, and — if favorable — participation in a joint industry letter to Congress.</w:t>
      </w:r>
    </w:p>
    <w:p w14:paraId="3682D84F" w14:textId="77777777" w:rsidR="00A90DC8" w:rsidRDefault="00000000">
      <w:pPr>
        <w:pStyle w:val="Heading3"/>
      </w:pPr>
      <w:r>
        <w:t>Phase 2: Congressional Engagement</w:t>
      </w:r>
    </w:p>
    <w:p w14:paraId="3C9AAE57" w14:textId="100D06A7" w:rsidR="00A90DC8" w:rsidRDefault="00000000">
      <w:r>
        <w:t>With industry backing established, the Foundation and its coalition partners would seek meetings with legislative staff handling immigration, foreign affairs, and housing policy. Priority targets include the Western Hemisphere subcommittees of the House Foreign Affairs and Senate Foreign Relations Committees, and the Virginia congressional delegation.</w:t>
      </w:r>
      <w:r w:rsidR="00DB785E">
        <w:t xml:space="preserve">  </w:t>
      </w:r>
      <w:r>
        <w:t>The lead argument: "We are spending $17,000 to $70,000 per deportation. Here is a program that costs the U.S. nothing — it is funded by worker and employer contributions — and produces $12.9 billion in economic development returns while retaining the workforce your constituents' businesses depend on."</w:t>
      </w:r>
      <w:r w:rsidR="00DB785E">
        <w:t xml:space="preserve"> </w:t>
      </w:r>
      <w:r>
        <w:t>The goal is a congressional "Dear Colleague" letter or a hearing before the relevant subcommittees.</w:t>
      </w:r>
    </w:p>
    <w:p w14:paraId="151F2403" w14:textId="77777777" w:rsidR="00A90DC8" w:rsidRDefault="00000000">
      <w:pPr>
        <w:pStyle w:val="Heading3"/>
      </w:pPr>
      <w:r>
        <w:t>Phase 3: Think Tank and Policy Validation</w:t>
      </w:r>
    </w:p>
    <w:p w14:paraId="66B549D9" w14:textId="77777777" w:rsidR="00A90DC8" w:rsidRDefault="00000000">
      <w:r>
        <w:t>To support the legislative push, the Foundation would brief the Migration Policy Institute, the Inter-American Dialogue, and the Penn Wharton Budget Model to generate independent economic analysis. Penn Wharton's deportation-cost work provides the fiscal baseline for comparison.</w:t>
      </w:r>
    </w:p>
    <w:p w14:paraId="53DF03F7" w14:textId="77777777" w:rsidR="00A90DC8" w:rsidRDefault="00000000">
      <w:pPr>
        <w:pStyle w:val="Heading2"/>
      </w:pPr>
      <w:r>
        <w:t>The Marie Maxey Foundation</w:t>
      </w:r>
    </w:p>
    <w:p w14:paraId="1FCB91CC" w14:textId="396E2451" w:rsidR="00A90DC8" w:rsidRDefault="00000000">
      <w:r>
        <w:t>The Marie Maxey Foundation is a 501(c)(3) nonprofit organization headquartered in Fairfax, Virginia, founded in 2018. The Foundation supports Hispanic youth through scholarships, healthcare career pathways, and community health initiatives.</w:t>
      </w:r>
      <w:r w:rsidR="00DB785E">
        <w:t xml:space="preserve"> The Foundation Executive Director, Michael Maxey, </w:t>
      </w:r>
      <w:r>
        <w:t xml:space="preserve">brings 26 years of U.S. Foreign Service and USAID experience (1983–2009) as </w:t>
      </w:r>
      <w:r w:rsidR="00DB785E">
        <w:t xml:space="preserve">an </w:t>
      </w:r>
      <w:r>
        <w:t xml:space="preserve">Economic Development Officer. His </w:t>
      </w:r>
      <w:r w:rsidR="00DB785E">
        <w:t>career centered on housing finance, small business development, secondary mortgage market creation, regulatory reform, and private-sector economic growth in developing countries—</w:t>
      </w:r>
      <w:r>
        <w:t xml:space="preserve">precisely the program components this proposal requires. He originally designed the Guest Worker Housing and Remittance Bond concept in 2015 and has refined it </w:t>
      </w:r>
      <w:r w:rsidR="00DB785E">
        <w:t>over the past</w:t>
      </w:r>
      <w:r>
        <w:t xml:space="preserve"> decade of policy development.</w:t>
      </w:r>
    </w:p>
    <w:p w14:paraId="44DF1060" w14:textId="51741277" w:rsidR="00A90DC8" w:rsidRDefault="00000000" w:rsidP="00DB785E">
      <w:proofErr w:type="spellStart"/>
      <w:r>
        <w:t>TSources</w:t>
      </w:r>
      <w:proofErr w:type="spellEnd"/>
    </w:p>
    <w:p w14:paraId="3C8401F5" w14:textId="77777777" w:rsidR="00A90DC8" w:rsidRDefault="00000000">
      <w:r>
        <w:t xml:space="preserve">Congressional Research Service, "Honduras: An Overview" (IF13110), September 2025 · Pew Research Center, "U.S. Unauthorized Immigrant Population Reached a Record 14 Million in 2023," August 2025 · ICE/DHS deportation cost figures ($17,121 average) reported by Wisconsin Watch, Bloomberg, </w:t>
      </w:r>
      <w:proofErr w:type="spellStart"/>
      <w:r>
        <w:t>MinnPost</w:t>
      </w:r>
      <w:proofErr w:type="spellEnd"/>
      <w:r>
        <w:t xml:space="preserve">, November 2025 · Penn Wharton Budget Model, "Mass Deportation of Unauthorized Immigrants," July 2025 · American Immigration Council, "Mass Deportation" report, 2025 · World Bank: Honduras remittances 25.7% of GDP (2024) · Honduras Central Bank: Remittances $9.74B (2024) · National Restaurant Association, Immigration Policy Principles, April 2026 · RTI International, "LAC Housing and Urban Upgrading Assistance Retrospective: Honduras and Ecuador, 1980–2005" (USAID) · HUD Archives: $291M Honduras reconstruction program, 1999 · De Soto, Hernando, </w:t>
      </w:r>
      <w:r>
        <w:rPr>
          <w:i/>
        </w:rPr>
        <w:t>The Other Path</w:t>
      </w:r>
      <w:r>
        <w:t xml:space="preserve"> (1989); </w:t>
      </w:r>
      <w:r>
        <w:rPr>
          <w:i/>
        </w:rPr>
        <w:t>The Mystery of Capital</w:t>
      </w:r>
      <w:r>
        <w:t xml:space="preserve"> (2000)</w:t>
      </w:r>
    </w:p>
    <w:sectPr w:rsidR="00A90DC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186F"/>
    <w:multiLevelType w:val="hybridMultilevel"/>
    <w:tmpl w:val="1E2A8800"/>
    <w:lvl w:ilvl="0" w:tplc="DF9031AA">
      <w:start w:val="1"/>
      <w:numFmt w:val="decimal"/>
      <w:lvlText w:val="%1."/>
      <w:lvlJc w:val="left"/>
      <w:pPr>
        <w:ind w:left="720" w:hanging="360"/>
      </w:pPr>
    </w:lvl>
    <w:lvl w:ilvl="1" w:tplc="B5D8C774">
      <w:start w:val="1"/>
      <w:numFmt w:val="lowerLetter"/>
      <w:lvlText w:val="%2."/>
      <w:lvlJc w:val="left"/>
      <w:pPr>
        <w:ind w:left="1440" w:hanging="360"/>
      </w:pPr>
    </w:lvl>
    <w:lvl w:ilvl="2" w:tplc="6124040E">
      <w:start w:val="1"/>
      <w:numFmt w:val="lowerRoman"/>
      <w:lvlText w:val="%3."/>
      <w:lvlJc w:val="left"/>
      <w:pPr>
        <w:ind w:left="2160" w:hanging="360"/>
      </w:pPr>
    </w:lvl>
    <w:lvl w:ilvl="3" w:tplc="0CF093F4">
      <w:start w:val="1"/>
      <w:numFmt w:val="decimal"/>
      <w:lvlText w:val="%4."/>
      <w:lvlJc w:val="left"/>
      <w:pPr>
        <w:ind w:left="2880" w:hanging="360"/>
      </w:pPr>
    </w:lvl>
    <w:lvl w:ilvl="4" w:tplc="9F0E7588">
      <w:start w:val="1"/>
      <w:numFmt w:val="lowerLetter"/>
      <w:lvlText w:val="%5."/>
      <w:lvlJc w:val="left"/>
      <w:pPr>
        <w:ind w:left="3600" w:hanging="360"/>
      </w:pPr>
    </w:lvl>
    <w:lvl w:ilvl="5" w:tplc="69A2CAB8">
      <w:start w:val="1"/>
      <w:numFmt w:val="lowerRoman"/>
      <w:lvlText w:val="%6."/>
      <w:lvlJc w:val="left"/>
      <w:pPr>
        <w:ind w:left="4320" w:hanging="360"/>
      </w:pPr>
    </w:lvl>
    <w:lvl w:ilvl="6" w:tplc="7E364CF6">
      <w:start w:val="1"/>
      <w:numFmt w:val="decimal"/>
      <w:lvlText w:val="%7."/>
      <w:lvlJc w:val="left"/>
      <w:pPr>
        <w:ind w:left="5040" w:hanging="360"/>
      </w:pPr>
    </w:lvl>
    <w:lvl w:ilvl="7" w:tplc="D90C3BF0">
      <w:start w:val="1"/>
      <w:numFmt w:val="lowerLetter"/>
      <w:lvlText w:val="%8."/>
      <w:lvlJc w:val="left"/>
      <w:pPr>
        <w:ind w:left="5760" w:hanging="360"/>
      </w:pPr>
    </w:lvl>
    <w:lvl w:ilvl="8" w:tplc="FAAE7870">
      <w:start w:val="1"/>
      <w:numFmt w:val="lowerRoman"/>
      <w:lvlText w:val="%9."/>
      <w:lvlJc w:val="left"/>
      <w:pPr>
        <w:ind w:left="6480" w:hanging="360"/>
      </w:pPr>
    </w:lvl>
  </w:abstractNum>
  <w:abstractNum w:abstractNumId="1" w15:restartNumberingAfterBreak="0">
    <w:nsid w:val="4CF23770"/>
    <w:multiLevelType w:val="hybridMultilevel"/>
    <w:tmpl w:val="232CBA24"/>
    <w:lvl w:ilvl="0" w:tplc="8E16873A">
      <w:start w:val="1"/>
      <w:numFmt w:val="bullet"/>
      <w:lvlText w:val="•"/>
      <w:lvlJc w:val="left"/>
      <w:pPr>
        <w:ind w:left="720" w:hanging="360"/>
      </w:pPr>
    </w:lvl>
    <w:lvl w:ilvl="1" w:tplc="2B167194">
      <w:start w:val="1"/>
      <w:numFmt w:val="bullet"/>
      <w:lvlText w:val="o"/>
      <w:lvlJc w:val="left"/>
      <w:pPr>
        <w:ind w:left="1440" w:hanging="360"/>
      </w:pPr>
    </w:lvl>
    <w:lvl w:ilvl="2" w:tplc="9B2A2D00">
      <w:start w:val="1"/>
      <w:numFmt w:val="bullet"/>
      <w:lvlText w:val="▪"/>
      <w:lvlJc w:val="left"/>
      <w:pPr>
        <w:ind w:left="2160" w:hanging="360"/>
      </w:pPr>
    </w:lvl>
    <w:lvl w:ilvl="3" w:tplc="AB1C0458">
      <w:start w:val="1"/>
      <w:numFmt w:val="bullet"/>
      <w:lvlText w:val="•"/>
      <w:lvlJc w:val="left"/>
      <w:pPr>
        <w:ind w:left="2880" w:hanging="360"/>
      </w:pPr>
    </w:lvl>
    <w:lvl w:ilvl="4" w:tplc="EBCC7450">
      <w:start w:val="1"/>
      <w:numFmt w:val="bullet"/>
      <w:lvlText w:val="o"/>
      <w:lvlJc w:val="left"/>
      <w:pPr>
        <w:ind w:left="3600" w:hanging="360"/>
      </w:pPr>
    </w:lvl>
    <w:lvl w:ilvl="5" w:tplc="7B389984">
      <w:start w:val="1"/>
      <w:numFmt w:val="bullet"/>
      <w:lvlText w:val="▪"/>
      <w:lvlJc w:val="left"/>
      <w:pPr>
        <w:ind w:left="4320" w:hanging="360"/>
      </w:pPr>
    </w:lvl>
    <w:lvl w:ilvl="6" w:tplc="0D46BA32">
      <w:start w:val="1"/>
      <w:numFmt w:val="bullet"/>
      <w:lvlText w:val="•"/>
      <w:lvlJc w:val="left"/>
      <w:pPr>
        <w:ind w:left="5040" w:hanging="360"/>
      </w:pPr>
    </w:lvl>
    <w:lvl w:ilvl="7" w:tplc="B14883CC">
      <w:start w:val="1"/>
      <w:numFmt w:val="bullet"/>
      <w:lvlText w:val="o"/>
      <w:lvlJc w:val="left"/>
      <w:pPr>
        <w:ind w:left="5760" w:hanging="360"/>
      </w:pPr>
    </w:lvl>
    <w:lvl w:ilvl="8" w:tplc="CE9A8472">
      <w:start w:val="1"/>
      <w:numFmt w:val="bullet"/>
      <w:lvlText w:val="▪"/>
      <w:lvlJc w:val="left"/>
      <w:pPr>
        <w:ind w:left="6480" w:hanging="360"/>
      </w:pPr>
    </w:lvl>
  </w:abstractNum>
  <w:num w:numId="1" w16cid:durableId="1520504433">
    <w:abstractNumId w:val="1"/>
  </w:num>
  <w:num w:numId="2" w16cid:durableId="1648047495">
    <w:abstractNumId w:val="1"/>
  </w:num>
  <w:num w:numId="3" w16cid:durableId="13850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DC8"/>
    <w:rsid w:val="0058294D"/>
    <w:rsid w:val="00A0123C"/>
    <w:rsid w:val="00A3293F"/>
    <w:rsid w:val="00A90DC8"/>
    <w:rsid w:val="00DB785E"/>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CE8DA"/>
  <w15:docId w15:val="{9FA9F337-6C66-495C-883A-0C313BFA1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H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3102</Words>
  <Characters>17067</Characters>
  <Application>Microsoft Office Word</Application>
  <DocSecurity>0</DocSecurity>
  <Lines>142</Lines>
  <Paragraphs>40</Paragraphs>
  <ScaleCrop>false</ScaleCrop>
  <Company/>
  <LinksUpToDate>false</LinksUpToDate>
  <CharactersWithSpaces>20129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Unsolicited Proposal</dc:title>
  <dc:creator>Michael Maxey</dc:creator>
  <dc:description>Claude Docs node/582c89c5-3129@10 docx-w7</dc:description>
  <cp:lastModifiedBy>Michael Maxey</cp:lastModifiedBy>
  <cp:revision>2</cp:revision>
  <dcterms:created xsi:type="dcterms:W3CDTF">2026-10-23T13:48:00Z</dcterms:created>
  <dcterms:modified xsi:type="dcterms:W3CDTF">2026-10-23T13:48:00Z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ec1f1ea6bdf26c091b60e8ed48da731bee3c0a1d18b7d7a5c7f8547d33066517</vt:lpwstr>
  </property>
</Properties>
</file>